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D96C48" w:rsidRDefault="00E40887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Pas do stabilizacji miednicy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- </w:t>
      </w:r>
      <w:r>
        <w:rPr>
          <w:rFonts w:ascii="Arial" w:hAnsi="Arial" w:cs="Arial"/>
          <w:b/>
          <w:sz w:val="24"/>
          <w:szCs w:val="28"/>
        </w:rPr>
        <w:t>2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4E0282" w:rsidRDefault="004E0282" w:rsidP="004E0282">
      <w:pPr>
        <w:ind w:right="565"/>
        <w:jc w:val="both"/>
        <w:rPr>
          <w:rFonts w:ascii="Verdana" w:hAnsi="Verdana" w:cs="Arial"/>
          <w:b/>
          <w:i/>
          <w:sz w:val="20"/>
        </w:rPr>
      </w:pPr>
    </w:p>
    <w:p w:rsidR="004E0282" w:rsidRPr="00854C20" w:rsidRDefault="004E0282" w:rsidP="004E0282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p w:rsidR="00C0010F" w:rsidRPr="005F02A4" w:rsidRDefault="00C0010F" w:rsidP="00C0010F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B662EC">
              <w:rPr>
                <w:rFonts w:ascii="Verdana" w:hAnsi="Verdana" w:cs="Arial"/>
                <w:sz w:val="20"/>
              </w:rPr>
              <w:t>nie starszy niż 201</w:t>
            </w:r>
            <w:r w:rsidR="002F0F61">
              <w:rPr>
                <w:rFonts w:ascii="Verdana" w:hAnsi="Verdana" w:cs="Arial"/>
                <w:sz w:val="20"/>
              </w:rPr>
              <w:t>7</w:t>
            </w:r>
            <w:r w:rsidR="00B662EC">
              <w:rPr>
                <w:rFonts w:ascii="Verdana" w:hAnsi="Verdana" w:cs="Arial"/>
                <w:sz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AC1F88" w:rsidRPr="00AC1F88" w:rsidRDefault="00AC1F88">
      <w:pPr>
        <w:rPr>
          <w:b/>
          <w:sz w:val="28"/>
          <w:szCs w:val="28"/>
        </w:rPr>
      </w:pPr>
      <w:bookmarkStart w:id="0" w:name="_Hlk512257171"/>
    </w:p>
    <w:tbl>
      <w:tblPr>
        <w:tblW w:w="9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12"/>
        <w:gridCol w:w="2835"/>
        <w:gridCol w:w="2741"/>
      </w:tblGrid>
      <w:tr w:rsidR="00706369" w:rsidRPr="00B72379" w:rsidTr="00B72379">
        <w:trPr>
          <w:trHeight w:val="433"/>
          <w:jc w:val="center"/>
        </w:trPr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06369" w:rsidRPr="00B72379" w:rsidRDefault="00706369" w:rsidP="0070636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2590266"/>
            <w:bookmarkEnd w:id="0"/>
            <w:r w:rsidRPr="00B723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B72379" w:rsidRDefault="00706369" w:rsidP="00706369">
            <w:pPr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B72379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36A" w:rsidRPr="00B72379" w:rsidRDefault="007305C2" w:rsidP="008A336A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B72379">
              <w:rPr>
                <w:rStyle w:val="FontStyle76"/>
                <w:rFonts w:eastAsia="Microsoft YaHei"/>
                <w:color w:val="auto"/>
              </w:rPr>
              <w:t>PARAMETRY GRANICZNE</w:t>
            </w:r>
          </w:p>
          <w:p w:rsidR="00706369" w:rsidRPr="00B72379" w:rsidRDefault="00706369" w:rsidP="007305C2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</w:p>
        </w:tc>
        <w:tc>
          <w:tcPr>
            <w:tcW w:w="2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B72379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237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706369" w:rsidRPr="00B72379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237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8C7EE0" w:rsidRPr="00B7237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podaje</w:t>
            </w:r>
            <w:r w:rsidRPr="00B7237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Wykonawca)</w:t>
            </w:r>
          </w:p>
        </w:tc>
      </w:tr>
      <w:bookmarkEnd w:id="1"/>
      <w:tr w:rsidR="002F0F61" w:rsidRPr="00B72379" w:rsidTr="00B72379">
        <w:trPr>
          <w:trHeight w:val="45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B7237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B7237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B7237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B7237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83" w:type="dxa"/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8A336A" w:rsidRPr="00B72379" w:rsidRDefault="008A336A" w:rsidP="008A336A">
            <w:pPr>
              <w:snapToGrid w:val="0"/>
              <w:spacing w:line="200" w:lineRule="atLeast"/>
              <w:ind w:left="-6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 xml:space="preserve">Pas służący do stabilizacji obręczy biodrowej u pacjentów z podejrzeniem złamań lub pęknięć kości miednicy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83" w:type="dxa"/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8A336A" w:rsidRPr="00B72379" w:rsidRDefault="008A336A" w:rsidP="008A336A">
            <w:pPr>
              <w:snapToGrid w:val="0"/>
              <w:spacing w:line="200" w:lineRule="atLeast"/>
              <w:ind w:left="-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Konstrukcja umożliwiająca założenie pasa przez jedną osobę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6A" w:rsidRPr="00B72379" w:rsidRDefault="008A336A" w:rsidP="008A336A">
            <w:pPr>
              <w:snapToGrid w:val="0"/>
              <w:spacing w:line="200" w:lineRule="atLeast"/>
              <w:ind w:left="-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Zapewnienie jednoczesnej i obustronnej kompresji obu talerzy biodrowych w trakcie spinania pasa.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A336A" w:rsidRPr="00B72379" w:rsidRDefault="008A336A" w:rsidP="008A336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237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6A" w:rsidRPr="00B72379" w:rsidRDefault="008A336A" w:rsidP="008A336A">
            <w:pPr>
              <w:snapToGrid w:val="0"/>
              <w:spacing w:line="200" w:lineRule="atLeast"/>
              <w:ind w:left="-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Konstrukcja pasa dwuczęściowa. Jedna część stanowiąca pas główny, druga część doczepiana do pasa głównego za pomocą mocowania typu rzep.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6A" w:rsidRPr="00B72379" w:rsidRDefault="008A336A" w:rsidP="008A336A">
            <w:pPr>
              <w:snapToGrid w:val="0"/>
              <w:spacing w:line="200" w:lineRule="atLeast"/>
              <w:ind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Możliwość wykonania naciągu w sposób równomierny przy wykorzystaniu jednej ręki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9"/>
          <w:jc w:val="center"/>
        </w:trPr>
        <w:tc>
          <w:tcPr>
            <w:tcW w:w="683" w:type="dxa"/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6A" w:rsidRPr="00B72379" w:rsidRDefault="008A336A" w:rsidP="008A336A">
            <w:pPr>
              <w:snapToGrid w:val="0"/>
              <w:spacing w:line="200" w:lineRule="atLeast"/>
              <w:ind w:left="-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Wszystkie zapięcia pasa wykonane z taśm typu rzep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98"/>
          <w:jc w:val="center"/>
        </w:trPr>
        <w:tc>
          <w:tcPr>
            <w:tcW w:w="683" w:type="dxa"/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6A" w:rsidRPr="00B72379" w:rsidRDefault="008A336A" w:rsidP="008A336A">
            <w:pPr>
              <w:snapToGrid w:val="0"/>
              <w:spacing w:line="200" w:lineRule="atLeast"/>
              <w:ind w:left="-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System naciągu pasa realizowany przez system min 10  równolegle rozłożonych bloczków oraz jednego uchwytu ciągnącego linkę zaciskową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83" w:type="dxa"/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8A336A" w:rsidRPr="00B72379" w:rsidRDefault="008A336A" w:rsidP="008A336A">
            <w:pPr>
              <w:snapToGrid w:val="0"/>
              <w:spacing w:line="200" w:lineRule="atLeast"/>
              <w:ind w:left="-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Jeden rozmiar pasa pasujący do wszystkich grup wiekowych pacjentów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237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83" w:type="dxa"/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8A336A" w:rsidRPr="00B72379" w:rsidRDefault="008A336A" w:rsidP="008A336A">
            <w:pPr>
              <w:snapToGrid w:val="0"/>
              <w:spacing w:line="200" w:lineRule="atLeast"/>
              <w:ind w:left="-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Wymiary minimalne pasa:</w:t>
            </w:r>
          </w:p>
          <w:p w:rsidR="008A336A" w:rsidRPr="00B72379" w:rsidRDefault="008A336A" w:rsidP="008A336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00" w:lineRule="atLeast"/>
              <w:ind w:left="-3" w:right="-3"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długość: 140cm (+/- 5cm)</w:t>
            </w:r>
          </w:p>
          <w:p w:rsidR="008A336A" w:rsidRPr="00B72379" w:rsidRDefault="008A336A" w:rsidP="008A336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00" w:lineRule="atLeast"/>
              <w:ind w:left="-3" w:right="-3"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szerokość: 20cm (+/- 2cm)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237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83" w:type="dxa"/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8A336A" w:rsidRPr="00B72379" w:rsidRDefault="008A336A" w:rsidP="008A336A">
            <w:pPr>
              <w:snapToGrid w:val="0"/>
              <w:spacing w:line="200" w:lineRule="atLeast"/>
              <w:ind w:left="-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Brak elementów metalowych w konstrukcji. W 100% przenikliwy dla promieni X, kompatybilny ze środowiskiem CT i MRI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B7237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</w:tbl>
    <w:p w:rsidR="008C7EE0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bookmarkStart w:id="2" w:name="_Hlk512596794"/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C7EE0" w:rsidRPr="004E0282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r w:rsidRPr="004E0282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lastRenderedPageBreak/>
        <w:t xml:space="preserve">WARUNKI  GWARANCJI  I  SERWISU </w:t>
      </w:r>
      <w:bookmarkStart w:id="3" w:name="_GoBack"/>
      <w:bookmarkEnd w:id="3"/>
    </w:p>
    <w:bookmarkEnd w:id="2"/>
    <w:p w:rsidR="008C7EE0" w:rsidRPr="004E0282" w:rsidRDefault="008C7EE0" w:rsidP="008C7E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4E0282" w:rsidRPr="004E0282" w:rsidTr="000C555A">
        <w:trPr>
          <w:jc w:val="center"/>
        </w:trPr>
        <w:tc>
          <w:tcPr>
            <w:tcW w:w="426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4E0282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8C7EE0" w:rsidRPr="004E0282" w:rsidRDefault="008C7EE0" w:rsidP="000C555A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4E0282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4E0282" w:rsidRPr="004E0282" w:rsidTr="000C555A">
        <w:trPr>
          <w:jc w:val="center"/>
        </w:trPr>
        <w:tc>
          <w:tcPr>
            <w:tcW w:w="426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8C7EE0" w:rsidRPr="004E0282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4E0282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dokonywane przez autoryzowany serwis producenta, 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4E0282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4E0282" w:rsidRPr="004E0282" w:rsidTr="000C555A">
        <w:trPr>
          <w:cantSplit/>
          <w:jc w:val="center"/>
        </w:trPr>
        <w:tc>
          <w:tcPr>
            <w:tcW w:w="426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8C7EE0" w:rsidRPr="004E0282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4E0282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8C7EE0" w:rsidRPr="004E0282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4E0282" w:rsidRPr="004E0282" w:rsidTr="000C555A">
        <w:trPr>
          <w:jc w:val="center"/>
        </w:trPr>
        <w:tc>
          <w:tcPr>
            <w:tcW w:w="426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8C7EE0" w:rsidRPr="004E0282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 w:rsidR="004E0282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 xml:space="preserve"> 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2179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4E0282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="00797FEF">
              <w:rPr>
                <w:rFonts w:ascii="Arial" w:eastAsia="Times New Roman" w:hAnsi="Arial" w:cs="Arial"/>
                <w:sz w:val="20"/>
                <w:lang w:eastAsia="pl-PL"/>
              </w:rPr>
              <w:t>10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lat od daty dostawy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8C7EE0" w:rsidRPr="00767A51" w:rsidRDefault="008C7EE0" w:rsidP="008C7EE0">
      <w:pPr>
        <w:rPr>
          <w:rFonts w:ascii="Arial" w:hAnsi="Arial" w:cs="Arial"/>
          <w:sz w:val="18"/>
          <w:szCs w:val="18"/>
        </w:rPr>
      </w:pPr>
    </w:p>
    <w:p w:rsidR="002F0F61" w:rsidRPr="00767A51" w:rsidRDefault="002F0F61">
      <w:pPr>
        <w:rPr>
          <w:rFonts w:ascii="Arial" w:hAnsi="Arial" w:cs="Arial"/>
          <w:sz w:val="18"/>
          <w:szCs w:val="18"/>
        </w:rPr>
      </w:pPr>
    </w:p>
    <w:sectPr w:rsidR="002F0F6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B3" w:rsidRDefault="007D6BB3" w:rsidP="002F2BC0">
      <w:pPr>
        <w:spacing w:after="0" w:line="240" w:lineRule="auto"/>
      </w:pPr>
      <w:r>
        <w:separator/>
      </w:r>
    </w:p>
  </w:endnote>
  <w:endnote w:type="continuationSeparator" w:id="0">
    <w:p w:rsidR="007D6BB3" w:rsidRDefault="007D6BB3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B3" w:rsidRDefault="007D6BB3" w:rsidP="002F2BC0">
      <w:pPr>
        <w:spacing w:after="0" w:line="240" w:lineRule="auto"/>
      </w:pPr>
      <w:r>
        <w:separator/>
      </w:r>
    </w:p>
  </w:footnote>
  <w:footnote w:type="continuationSeparator" w:id="0">
    <w:p w:rsidR="007D6BB3" w:rsidRDefault="007D6BB3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C0010F">
    <w:pPr>
      <w:pStyle w:val="Nagwek"/>
      <w:rPr>
        <w:rFonts w:hint="eastAsia"/>
      </w:rPr>
    </w:pPr>
  </w:p>
  <w:p w:rsidR="00767A51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ED2D21">
      <w:rPr>
        <w:b/>
        <w:sz w:val="24"/>
        <w:szCs w:val="28"/>
      </w:rPr>
      <w:t>2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ED2D21">
      <w:rPr>
        <w:b/>
        <w:i/>
        <w:sz w:val="24"/>
        <w:szCs w:val="28"/>
      </w:rPr>
      <w:t>2</w:t>
    </w:r>
    <w:r w:rsidRPr="00C0010F">
      <w:rPr>
        <w:b/>
        <w:i/>
        <w:sz w:val="24"/>
        <w:szCs w:val="28"/>
      </w:rPr>
      <w:t xml:space="preserve"> do SIWZ</w:t>
    </w:r>
  </w:p>
  <w:p w:rsidR="007305C2" w:rsidRPr="00EA5D15" w:rsidRDefault="007305C2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924C52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E5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10F" w:rsidRDefault="00C0010F" w:rsidP="00C0010F">
    <w:pPr>
      <w:rPr>
        <w:b/>
        <w:sz w:val="28"/>
        <w:szCs w:val="28"/>
      </w:rPr>
    </w:pPr>
  </w:p>
  <w:p w:rsidR="00C0010F" w:rsidRPr="00C0010F" w:rsidRDefault="00C0010F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ED2D21">
      <w:rPr>
        <w:b/>
        <w:sz w:val="24"/>
        <w:szCs w:val="28"/>
      </w:rPr>
      <w:t>2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ED2D21">
      <w:rPr>
        <w:b/>
        <w:i/>
        <w:sz w:val="24"/>
        <w:szCs w:val="28"/>
      </w:rPr>
      <w:t>2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56155"/>
    <w:rsid w:val="000604E6"/>
    <w:rsid w:val="000761C6"/>
    <w:rsid w:val="00090063"/>
    <w:rsid w:val="00096F9F"/>
    <w:rsid w:val="000A61C7"/>
    <w:rsid w:val="000B2CF5"/>
    <w:rsid w:val="00100733"/>
    <w:rsid w:val="00141E64"/>
    <w:rsid w:val="00160D37"/>
    <w:rsid w:val="001C2310"/>
    <w:rsid w:val="00241D92"/>
    <w:rsid w:val="0028186E"/>
    <w:rsid w:val="002F0F61"/>
    <w:rsid w:val="002F2BC0"/>
    <w:rsid w:val="00315209"/>
    <w:rsid w:val="00331660"/>
    <w:rsid w:val="0034251C"/>
    <w:rsid w:val="003566D0"/>
    <w:rsid w:val="003D547C"/>
    <w:rsid w:val="003D5602"/>
    <w:rsid w:val="00431999"/>
    <w:rsid w:val="00494E40"/>
    <w:rsid w:val="004A64C8"/>
    <w:rsid w:val="004E0282"/>
    <w:rsid w:val="006D6CFD"/>
    <w:rsid w:val="006E1B70"/>
    <w:rsid w:val="006E7F90"/>
    <w:rsid w:val="00706369"/>
    <w:rsid w:val="007305C2"/>
    <w:rsid w:val="00761C07"/>
    <w:rsid w:val="00767A51"/>
    <w:rsid w:val="007762ED"/>
    <w:rsid w:val="00792286"/>
    <w:rsid w:val="00797FEF"/>
    <w:rsid w:val="007A1CC7"/>
    <w:rsid w:val="007A5134"/>
    <w:rsid w:val="007D6BB3"/>
    <w:rsid w:val="008501ED"/>
    <w:rsid w:val="00895E0D"/>
    <w:rsid w:val="008A336A"/>
    <w:rsid w:val="008C7EE0"/>
    <w:rsid w:val="00924C52"/>
    <w:rsid w:val="00947E81"/>
    <w:rsid w:val="00975B95"/>
    <w:rsid w:val="009A6AB4"/>
    <w:rsid w:val="009B0531"/>
    <w:rsid w:val="009B26A3"/>
    <w:rsid w:val="009B529B"/>
    <w:rsid w:val="009C40C7"/>
    <w:rsid w:val="00A0011D"/>
    <w:rsid w:val="00A346F2"/>
    <w:rsid w:val="00A6248E"/>
    <w:rsid w:val="00A76436"/>
    <w:rsid w:val="00A84B30"/>
    <w:rsid w:val="00A97C7C"/>
    <w:rsid w:val="00AC1F88"/>
    <w:rsid w:val="00B27E26"/>
    <w:rsid w:val="00B329F9"/>
    <w:rsid w:val="00B662EC"/>
    <w:rsid w:val="00B72379"/>
    <w:rsid w:val="00BE0E5A"/>
    <w:rsid w:val="00C0010F"/>
    <w:rsid w:val="00C2567B"/>
    <w:rsid w:val="00C6177D"/>
    <w:rsid w:val="00C77938"/>
    <w:rsid w:val="00CB1C67"/>
    <w:rsid w:val="00D11D98"/>
    <w:rsid w:val="00D34F6E"/>
    <w:rsid w:val="00D61432"/>
    <w:rsid w:val="00D7687E"/>
    <w:rsid w:val="00D96C48"/>
    <w:rsid w:val="00DA72A2"/>
    <w:rsid w:val="00DC42DF"/>
    <w:rsid w:val="00DD10B5"/>
    <w:rsid w:val="00DE3581"/>
    <w:rsid w:val="00E33C7F"/>
    <w:rsid w:val="00E40887"/>
    <w:rsid w:val="00E60D87"/>
    <w:rsid w:val="00EA5D15"/>
    <w:rsid w:val="00EB0ADA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3F2563"/>
  <w15:docId w15:val="{69BB4FEF-2951-4DBB-B871-956E9CE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2D34-8A75-4FED-A0ED-7E4D8030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2018-04-27T12:34:00Z</dcterms:created>
  <dcterms:modified xsi:type="dcterms:W3CDTF">2018-05-14T10:23:00Z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